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25"/>
        <w:gridCol w:w="6450"/>
        <w:tblGridChange w:id="0">
          <w:tblGrid>
            <w:gridCol w:w="2925"/>
            <w:gridCol w:w="64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cheat (v)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engañar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claim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afirmación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computer program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programa de ordenador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consciousness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conciencia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evaluate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evaluar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imitate 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imitar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internal (a)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introduce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Introducir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judge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level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nivel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limited (a)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limitado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memory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memoria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monitor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supervisar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multiple choice test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highlight w:val="white"/>
                <w:rtl w:val="0"/>
              </w:rPr>
              <w:t xml:space="preserve">prueba de elección múltiple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pass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 pasar, aprobar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prediction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predicción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pretend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pretender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prewritten script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texto escrito con antelación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processing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procesamiento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repeat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repetir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reveal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revelar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standardized (a)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estandarizado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strategy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estrategia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success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éxito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1440" w:top="1440" w:left="1440" w:right="1440" w:header="0"/>
      <w:pgNumType w:start="1"/>
      <w:cols w:equalWidth="0" w:num="1">
        <w:col w:space="0" w:w="9360"/>
      </w:cols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Turing Test Vocabulary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